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9B" w:rsidRPr="00B02071" w:rsidRDefault="0059629B" w:rsidP="00AB4FD1">
      <w:r w:rsidRPr="00B020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9pt">
            <v:imagedata r:id="rId6" o:title=""/>
          </v:shape>
        </w:pict>
      </w:r>
    </w:p>
    <w:p w:rsidR="0059629B" w:rsidRPr="00B02071" w:rsidRDefault="0059629B" w:rsidP="00AB4FD1">
      <w:r w:rsidRPr="00B02071">
        <w:t>Република Србија</w:t>
      </w:r>
    </w:p>
    <w:p w:rsidR="0059629B" w:rsidRPr="00B02071" w:rsidRDefault="0059629B" w:rsidP="00AB4FD1">
      <w:r w:rsidRPr="00B02071">
        <w:t xml:space="preserve">УСТАВНИ СУД   </w:t>
      </w:r>
    </w:p>
    <w:p w:rsidR="0059629B" w:rsidRPr="00B02071" w:rsidRDefault="0059629B" w:rsidP="00AB4FD1">
      <w:r w:rsidRPr="00B02071">
        <w:t>Број: IУо-626/2014</w:t>
      </w:r>
    </w:p>
    <w:p w:rsidR="0059629B" w:rsidRPr="00B02071" w:rsidRDefault="0059629B" w:rsidP="00AB4FD1">
      <w:r w:rsidRPr="00B02071">
        <w:t>_______ 2015. године</w:t>
      </w:r>
    </w:p>
    <w:p w:rsidR="0059629B" w:rsidRPr="00B02071" w:rsidRDefault="0059629B" w:rsidP="00AB4FD1">
      <w:r w:rsidRPr="00B02071">
        <w:t>Б е о г р а д</w:t>
      </w:r>
    </w:p>
    <w:p w:rsidR="0059629B" w:rsidRPr="00B02071" w:rsidRDefault="0059629B" w:rsidP="00AB4FD1"/>
    <w:p w:rsidR="0059629B" w:rsidRPr="00B02071" w:rsidRDefault="0059629B" w:rsidP="00AB4FD1">
      <w:pPr>
        <w:autoSpaceDE w:val="0"/>
        <w:autoSpaceDN w:val="0"/>
        <w:adjustRightInd w:val="0"/>
      </w:pPr>
    </w:p>
    <w:p w:rsidR="0059629B" w:rsidRPr="00B02071" w:rsidRDefault="0059629B" w:rsidP="00381B35">
      <w:pPr>
        <w:tabs>
          <w:tab w:val="left" w:pos="1442"/>
        </w:tabs>
        <w:autoSpaceDE w:val="0"/>
        <w:autoSpaceDN w:val="0"/>
        <w:adjustRightInd w:val="0"/>
      </w:pPr>
      <w:r w:rsidRPr="00B02071">
        <w:tab/>
        <w:t>Уставни суд</w:t>
      </w:r>
      <w:r>
        <w:rPr>
          <w:lang w:val="sr-Cyrl-CS"/>
        </w:rPr>
        <w:t>,</w:t>
      </w:r>
      <w:r w:rsidRPr="00B02071">
        <w:t xml:space="preserve"> у саставу: председник Весна Илић Прелић и судије др Марија Драшкић, Братислав Ђокић, др Горан П. Илић, Катарина Манојловић Андрић, мр Милан Марковић, др Боса Ненадић, </w:t>
      </w:r>
      <w:r>
        <w:rPr>
          <w:lang w:val="sr-Cyrl-CS"/>
        </w:rPr>
        <w:t xml:space="preserve">др Драгиша Б. Слијепчевић, </w:t>
      </w:r>
      <w:r w:rsidRPr="00B02071">
        <w:t xml:space="preserve">Милан Станић, др Драган Стојановић, мр Томислав Стојковић, Сабахудин Тахировић и Предраг Ћетковић, на основу члана 167. став 1. тачка 4. Устава Републике Србије, на седници одржаној </w:t>
      </w:r>
      <w:r>
        <w:rPr>
          <w:lang w:val="sr-Cyrl-CS"/>
        </w:rPr>
        <w:t xml:space="preserve">7. маја </w:t>
      </w:r>
      <w:r w:rsidRPr="00B02071">
        <w:t>2015. године, донео је</w:t>
      </w:r>
    </w:p>
    <w:p w:rsidR="0059629B" w:rsidRPr="00B02071" w:rsidRDefault="0059629B" w:rsidP="00AB4FD1">
      <w:pPr>
        <w:jc w:val="center"/>
      </w:pPr>
    </w:p>
    <w:p w:rsidR="0059629B" w:rsidRPr="00B02071" w:rsidRDefault="0059629B" w:rsidP="00AB4FD1">
      <w:pPr>
        <w:jc w:val="center"/>
      </w:pPr>
      <w:r w:rsidRPr="00B02071">
        <w:t>О Д Л У К У</w:t>
      </w:r>
    </w:p>
    <w:p w:rsidR="0059629B" w:rsidRPr="00B02071" w:rsidRDefault="0059629B" w:rsidP="00AB4FD1"/>
    <w:p w:rsidR="0059629B" w:rsidRPr="00B02071" w:rsidRDefault="0059629B" w:rsidP="00AB4FD1">
      <w:r w:rsidRPr="00B02071">
        <w:tab/>
        <w:t>1. Утврђује се да Одлука о коришћењу средстава репрезентације општине Бечеј</w:t>
      </w:r>
      <w:r>
        <w:rPr>
          <w:lang w:val="sr-Cyrl-CS"/>
        </w:rPr>
        <w:t>,</w:t>
      </w:r>
      <w:r w:rsidRPr="00B02071">
        <w:t xml:space="preserve"> број: II 011-96/2014 од 22. јула 2014. године, није у сагласности са Уставом и законом.</w:t>
      </w:r>
    </w:p>
    <w:p w:rsidR="0059629B" w:rsidRPr="00B02071" w:rsidRDefault="0059629B" w:rsidP="00AB4FD1">
      <w:r w:rsidRPr="00B02071">
        <w:tab/>
        <w:t>2. Одбацује се захтев за обуставу извршења појединачног акта</w:t>
      </w:r>
      <w:r>
        <w:rPr>
          <w:lang w:val="sr-Cyrl-CS"/>
        </w:rPr>
        <w:t>,</w:t>
      </w:r>
      <w:r w:rsidRPr="00B02071">
        <w:t xml:space="preserve"> односно радње предузете на основу Одлуке из тачке 1.</w:t>
      </w:r>
    </w:p>
    <w:p w:rsidR="0059629B" w:rsidRPr="00B02071" w:rsidRDefault="0059629B" w:rsidP="00AB4FD1">
      <w:pPr>
        <w:jc w:val="center"/>
      </w:pPr>
    </w:p>
    <w:p w:rsidR="0059629B" w:rsidRPr="00B02071" w:rsidRDefault="0059629B" w:rsidP="00AB4FD1">
      <w:pPr>
        <w:jc w:val="center"/>
      </w:pPr>
      <w:r w:rsidRPr="00B02071">
        <w:t>О б р а з л о ж е њ е</w:t>
      </w:r>
    </w:p>
    <w:p w:rsidR="0059629B" w:rsidRPr="00B02071" w:rsidRDefault="0059629B" w:rsidP="00AB4FD1"/>
    <w:p w:rsidR="0059629B" w:rsidRPr="00B02071" w:rsidRDefault="0059629B" w:rsidP="00AB4FD1">
      <w:r w:rsidRPr="00B02071">
        <w:tab/>
        <w:t xml:space="preserve">Уставном суду поднета је иницијатива за покретање поступка за оцену уставности и законитости Одлуке из </w:t>
      </w:r>
      <w:r>
        <w:rPr>
          <w:lang w:val="sr-Cyrl-CS"/>
        </w:rPr>
        <w:t xml:space="preserve">тачке 1. </w:t>
      </w:r>
      <w:r w:rsidRPr="00B02071">
        <w:t>изреке. По оцени иницијатора</w:t>
      </w:r>
      <w:r>
        <w:rPr>
          <w:lang w:val="sr-Cyrl-CS"/>
        </w:rPr>
        <w:t>,</w:t>
      </w:r>
      <w:r w:rsidRPr="00B02071">
        <w:t xml:space="preserve"> оспорена Одлука</w:t>
      </w:r>
      <w:r>
        <w:rPr>
          <w:lang w:val="sr-Cyrl-CS"/>
        </w:rPr>
        <w:t>,</w:t>
      </w:r>
      <w:r w:rsidRPr="00B02071">
        <w:t xml:space="preserve"> коју је донео председник општине на предлог општинског већа</w:t>
      </w:r>
      <w:r>
        <w:rPr>
          <w:lang w:val="sr-Cyrl-CS"/>
        </w:rPr>
        <w:t>,</w:t>
      </w:r>
      <w:r w:rsidRPr="00B02071">
        <w:t xml:space="preserve"> у супротности је са чланом 32. Закона о локалној самоуправи јер је донета на предлог и од ненадлежног органа. Осим тога, у Одлуци су као правни основ „погрешно“ наведене одредбе члана 44. став 1. тачка 3) Закона о локалној самоуправи и члана 52. став 1. тачка 3. Статута општине Бечеј, </w:t>
      </w:r>
      <w:r>
        <w:rPr>
          <w:lang w:val="sr-Cyrl-CS"/>
        </w:rPr>
        <w:t>јер</w:t>
      </w:r>
      <w:r w:rsidRPr="00B02071">
        <w:t xml:space="preserve"> те одредбе Закона и Статута не дају овлашћење председнику општине да доноси опште акте. Такође, оспорена Одлука је у супротности и са чланом 196. став 3. Устава, јер је објављена на огласној табли општине, а не у „Службеном листу општине Бечеј“. Иницијатор предлаже да Суд до доношења коначне одлуке обустави извршење појединачног акта донетог на основу оспорене Одлуке.</w:t>
      </w:r>
    </w:p>
    <w:p w:rsidR="0059629B" w:rsidRPr="00B02071" w:rsidRDefault="0059629B" w:rsidP="0025448E">
      <w:r w:rsidRPr="00B02071">
        <w:tab/>
        <w:t>Доносилац оспореног акта се у одговору није изјаснио о наводима иницијативе већ је само обавестио Суд на основу којих одредаба Закона о локалној самоуправи и Статута општине Бечеј је донета оспорена Одлука. У прилогу су достављени Статут општине Бечеј и оспорена Одлука.</w:t>
      </w:r>
    </w:p>
    <w:p w:rsidR="0059629B" w:rsidRPr="00B02071" w:rsidRDefault="0059629B" w:rsidP="00AB4FD1">
      <w:r w:rsidRPr="00B02071">
        <w:tab/>
        <w:t>У спроведеном претходно</w:t>
      </w:r>
      <w:r>
        <w:rPr>
          <w:lang w:val="sr-Cyrl-CS"/>
        </w:rPr>
        <w:t xml:space="preserve">м </w:t>
      </w:r>
      <w:r w:rsidRPr="00B02071">
        <w:t>поступку Уставни суд је констатовао да је оспорену Одлуку о коришћењу средстава репрезентације општине Бечеј</w:t>
      </w:r>
      <w:r>
        <w:rPr>
          <w:lang w:val="sr-Cyrl-CS"/>
        </w:rPr>
        <w:t>,</w:t>
      </w:r>
      <w:r w:rsidRPr="00B02071">
        <w:t xml:space="preserve"> број: II 011-96/2014 од 22. јула 2014. године</w:t>
      </w:r>
      <w:r>
        <w:rPr>
          <w:lang w:val="sr-Cyrl-CS"/>
        </w:rPr>
        <w:t>,</w:t>
      </w:r>
      <w:r w:rsidRPr="00B02071">
        <w:t xml:space="preserve"> донео председник општине</w:t>
      </w:r>
      <w:r>
        <w:rPr>
          <w:lang w:val="sr-Cyrl-CS"/>
        </w:rPr>
        <w:t>,</w:t>
      </w:r>
      <w:r w:rsidRPr="00B02071">
        <w:t xml:space="preserve"> на предлог Општинског већа општине Бечеј, а на основу члана 44. став 1. тачка 3</w:t>
      </w:r>
      <w:r>
        <w:rPr>
          <w:lang w:val="sr-Cyrl-CS"/>
        </w:rPr>
        <w:t>)</w:t>
      </w:r>
      <w:r w:rsidRPr="00B02071">
        <w:t xml:space="preserve"> Закона о локалној самоуправи („Службени гласник РС“, број 129/07) и члана 52. став 1. тачка 3. и члана 54. став 1. тачка 19. Статута општине Бечеј („Службени лист општине Бечеј“, број 2/14-пречишћен текст). Одлука садржи десет одредаба</w:t>
      </w:r>
      <w:r>
        <w:rPr>
          <w:lang w:val="sr-Cyrl-CS"/>
        </w:rPr>
        <w:t>,</w:t>
      </w:r>
      <w:r w:rsidRPr="00B02071">
        <w:t xml:space="preserve"> којима се</w:t>
      </w:r>
      <w:r>
        <w:rPr>
          <w:lang w:val="sr-Cyrl-CS"/>
        </w:rPr>
        <w:t>:</w:t>
      </w:r>
      <w:r w:rsidRPr="00B02071">
        <w:t xml:space="preserve"> у члану 1. уређује предмет регулисања Одлуке; у члану 2. дефинише појам репрезентације; у члану 3. обезбеђивање финансијских средстава; у члану 4. одређује орган за праћење коришћења средстава; у члану 5. утврђују налогодавци и корисници репрезентације, а у чл. 6. до 9. начин коришћења репрезентације. Одредбом члана 10. Одлуке прописано је ступање на снагу одлуке и објављивање на огласној табли Општинске управе општине Бечеј и на званичној интернет страници општинске управе. </w:t>
      </w:r>
    </w:p>
    <w:p w:rsidR="0059629B" w:rsidRPr="00B02071" w:rsidRDefault="0059629B" w:rsidP="00AB4FD1">
      <w:r w:rsidRPr="00B02071">
        <w:tab/>
        <w:t>Уставом Републике Србије на чију повреду члана 196. став 3. иницијатор указује</w:t>
      </w:r>
      <w:r>
        <w:rPr>
          <w:lang w:val="sr-Cyrl-CS"/>
        </w:rPr>
        <w:t>,</w:t>
      </w:r>
      <w:r w:rsidRPr="00B02071">
        <w:t xml:space="preserve"> утврђено је да се статути и општи акти јединице локалне самоуправе објављују у локалним службеним гласилима.</w:t>
      </w:r>
    </w:p>
    <w:p w:rsidR="0059629B" w:rsidRPr="00B02071" w:rsidRDefault="0059629B" w:rsidP="00AB4FD1">
      <w:r w:rsidRPr="00B02071">
        <w:tab/>
        <w:t xml:space="preserve">Законом о локалној самоуправи („Службени гласник РС“, број 109/07) уређују се јединице локалне самоуправе, критеријуми за њихово оснивање, надлежности, органи, надзор над њиховим актима и радом, заштита локалне самоуправе и друга питања за остваривање права и дужности јединица локалне самоуправе (члан 1.). Одредбом члана 11. Закона прописано је да је статут највиши правни акт јединице локалне самоуправе којим се, поред осталог, нарочито уређује организација органа и служби као и друга питања од значаја за јединицу локалне самоуправе. Према одредби члана 32. став 1. тачка 6) </w:t>
      </w:r>
      <w:r>
        <w:rPr>
          <w:lang w:val="sr-Cyrl-CS"/>
        </w:rPr>
        <w:t xml:space="preserve">Закона, </w:t>
      </w:r>
      <w:r w:rsidRPr="00B02071">
        <w:t>скупштина општине у складу са законом доноси прописе и друге опште акте. Законом је такође, прописано: да су извршни органи општине председник општине и општинско веће (члан 42.); да председник општине представља и заступа општину, да је наредбодавац за извршење буџета, да доноси појединачне акте за које је овлашћен законом, статутом или одлуком скупштине (члан 44. став 1. тач. 1), 3) и 5)); да општинско веће предлаже статут, буџет и друге одлуке и акте које доноси скупштина (члан 46. став 1. тачка 1)).</w:t>
      </w:r>
    </w:p>
    <w:p w:rsidR="0059629B" w:rsidRPr="00B02071" w:rsidRDefault="0059629B" w:rsidP="00AB4FD1">
      <w:r w:rsidRPr="00B02071">
        <w:tab/>
        <w:t>Статутом општине Бечеј („Службени лист општине Бечеј“, број 2/14-пречишћен текст) прописано је: да скупштина општине у складу са законом доноси прописе, опште и друге акте (члан 31. став 1. тачка 6.); да председник општине представља и заступа општину и наредбодавац је за извршење буџета (члан 52. став 1. тач. 1. и 3); да општинско веће предлаже статут, буџет и друге одлуке и акте које доноси скупштина општине (члан 54. став 1. тачка 1.).</w:t>
      </w:r>
    </w:p>
    <w:p w:rsidR="0059629B" w:rsidRPr="00B02071" w:rsidRDefault="0059629B" w:rsidP="00B02071">
      <w:pPr>
        <w:ind w:firstLine="1440"/>
      </w:pPr>
      <w:r w:rsidRPr="00B02071">
        <w:t>Полазећи од тога да је оспорену Одлуку донео председник општине</w:t>
      </w:r>
      <w:r>
        <w:rPr>
          <w:lang w:val="sr-Cyrl-CS"/>
        </w:rPr>
        <w:t>,</w:t>
      </w:r>
      <w:r w:rsidRPr="00B02071">
        <w:t xml:space="preserve"> на предлог општинског већа, Уставни суд је утврдио да председник општине</w:t>
      </w:r>
      <w:r>
        <w:rPr>
          <w:lang w:val="sr-Cyrl-CS"/>
        </w:rPr>
        <w:t>,</w:t>
      </w:r>
      <w:r w:rsidRPr="00B02071">
        <w:t xml:space="preserve"> као ни општинско веће</w:t>
      </w:r>
      <w:r>
        <w:rPr>
          <w:lang w:val="sr-Cyrl-CS"/>
        </w:rPr>
        <w:t>,</w:t>
      </w:r>
      <w:r w:rsidRPr="00B02071">
        <w:t xml:space="preserve"> нису имали законска овлашћења за предлагање и доношење оспорене Одлуке. Ово из разлога што према одредб</w:t>
      </w:r>
      <w:r>
        <w:rPr>
          <w:lang w:val="sr-Cyrl-CS"/>
        </w:rPr>
        <w:t>ама</w:t>
      </w:r>
      <w:r w:rsidRPr="00B02071">
        <w:t xml:space="preserve"> члана 44. тач. 1) и 3) Закона о локалној самоуправи</w:t>
      </w:r>
      <w:r>
        <w:rPr>
          <w:lang w:val="sr-Cyrl-CS"/>
        </w:rPr>
        <w:t>,</w:t>
      </w:r>
      <w:r w:rsidRPr="00B02071">
        <w:t xml:space="preserve"> председник општине представља и заступа општину и наредбодавац је за извршење буџета општине</w:t>
      </w:r>
      <w:r>
        <w:rPr>
          <w:lang w:val="sr-Cyrl-CS"/>
        </w:rPr>
        <w:t>,</w:t>
      </w:r>
      <w:r w:rsidRPr="00B02071">
        <w:t xml:space="preserve"> док је овлашћење за доношење прописа и других општих ак</w:t>
      </w:r>
      <w:r>
        <w:rPr>
          <w:lang w:val="sr-Cyrl-CS"/>
        </w:rPr>
        <w:t>а</w:t>
      </w:r>
      <w:r w:rsidRPr="00B02071">
        <w:t>та</w:t>
      </w:r>
      <w:r>
        <w:rPr>
          <w:lang w:val="sr-Cyrl-CS"/>
        </w:rPr>
        <w:t>,</w:t>
      </w:r>
      <w:r w:rsidRPr="00B02071">
        <w:t xml:space="preserve"> према одредби члана 32. став 1. тачка 6) истог закона</w:t>
      </w:r>
      <w:r>
        <w:rPr>
          <w:lang w:val="sr-Cyrl-CS"/>
        </w:rPr>
        <w:t>,</w:t>
      </w:r>
      <w:r w:rsidRPr="00B02071">
        <w:t xml:space="preserve"> изричито у надлежности скупштине општине. Због тога се доношење ове одлуке</w:t>
      </w:r>
      <w:r>
        <w:rPr>
          <w:lang w:val="sr-Cyrl-CS"/>
        </w:rPr>
        <w:t>,</w:t>
      </w:r>
      <w:r w:rsidRPr="00B02071">
        <w:t xml:space="preserve"> којом се уређује финансирање репрезентације, налогодавци репрезентације, корисници репрезентације, начин коришћења репрезентације, контрола употребе средстава репрезентације и друга питања у вези са коришћењем средстава репрезентације и која је </w:t>
      </w:r>
      <w:r>
        <w:rPr>
          <w:lang w:val="sr-Cyrl-CS"/>
        </w:rPr>
        <w:t xml:space="preserve">и </w:t>
      </w:r>
      <w:r w:rsidRPr="00B02071">
        <w:t>у формалном и садржинском смислу општи правни акт</w:t>
      </w:r>
      <w:r>
        <w:rPr>
          <w:lang w:val="sr-Cyrl-CS"/>
        </w:rPr>
        <w:t>,</w:t>
      </w:r>
      <w:r w:rsidRPr="00B02071">
        <w:t xml:space="preserve"> не може довести у везу са законском надлежношћу председника општине који је наредбодавац за извршење буџета</w:t>
      </w:r>
      <w:r>
        <w:rPr>
          <w:lang w:val="sr-Cyrl-CS"/>
        </w:rPr>
        <w:t>,</w:t>
      </w:r>
      <w:r w:rsidRPr="00B02071">
        <w:t xml:space="preserve"> а не и за доношење општих правних аката. Такође, ни општинско веће</w:t>
      </w:r>
      <w:r>
        <w:rPr>
          <w:lang w:val="sr-Cyrl-CS"/>
        </w:rPr>
        <w:t>,</w:t>
      </w:r>
      <w:r w:rsidRPr="00B02071">
        <w:t xml:space="preserve"> према одредби члана 54. Закона о локалној самоуправи</w:t>
      </w:r>
      <w:r>
        <w:rPr>
          <w:lang w:val="sr-Cyrl-CS"/>
        </w:rPr>
        <w:t>,</w:t>
      </w:r>
      <w:r w:rsidRPr="00B02071">
        <w:t xml:space="preserve"> није овлашћено да предлаже председнику општине доношење општих аката</w:t>
      </w:r>
      <w:r>
        <w:rPr>
          <w:lang w:val="sr-Cyrl-CS"/>
        </w:rPr>
        <w:t>,</w:t>
      </w:r>
      <w:r w:rsidRPr="00B02071">
        <w:t xml:space="preserve"> већ само да предлаже акте које доноси скупштина општине (статут, буџет и друге одлуке). Из наведених разлога</w:t>
      </w:r>
      <w:r>
        <w:rPr>
          <w:lang w:val="sr-Cyrl-CS"/>
        </w:rPr>
        <w:t>,</w:t>
      </w:r>
      <w:r w:rsidRPr="00B02071">
        <w:t xml:space="preserve"> Уставни суд је утврдио да оспорена Одлука није у сагласности са законом.</w:t>
      </w:r>
    </w:p>
    <w:p w:rsidR="0059629B" w:rsidRPr="00B02071" w:rsidRDefault="0059629B" w:rsidP="0098401D">
      <w:pPr>
        <w:ind w:firstLine="1440"/>
      </w:pPr>
      <w:r w:rsidRPr="00B02071">
        <w:t>Будући да је одредб</w:t>
      </w:r>
      <w:r>
        <w:rPr>
          <w:lang w:val="sr-Cyrl-CS"/>
        </w:rPr>
        <w:t>ом</w:t>
      </w:r>
      <w:r w:rsidRPr="00B02071">
        <w:t xml:space="preserve"> члана 196. став 3. Устава утврђено да се  статути и општи акти јединица локалне самоуправе објављују у локалним службеним гласилима, а да је </w:t>
      </w:r>
      <w:r>
        <w:rPr>
          <w:lang w:val="sr-Cyrl-CS"/>
        </w:rPr>
        <w:t xml:space="preserve">оспорена </w:t>
      </w:r>
      <w:r w:rsidRPr="00B02071">
        <w:t xml:space="preserve">Одлука објављена на огласној табли Општинске управе општине Бечеј, то </w:t>
      </w:r>
      <w:r>
        <w:rPr>
          <w:lang w:val="sr-Cyrl-CS"/>
        </w:rPr>
        <w:t>О</w:t>
      </w:r>
      <w:r w:rsidRPr="00B02071">
        <w:t>длука није у сагласности ни са Уставом.</w:t>
      </w:r>
    </w:p>
    <w:p w:rsidR="0059629B" w:rsidRPr="00B02071" w:rsidRDefault="0059629B" w:rsidP="009C239E">
      <w:r w:rsidRPr="00B02071">
        <w:tab/>
        <w:t xml:space="preserve">Како је Уставни суд утврдио да оспорена Одлука у формално-правном </w:t>
      </w:r>
      <w:r>
        <w:rPr>
          <w:lang w:val="sr-Cyrl-CS"/>
        </w:rPr>
        <w:t xml:space="preserve">смислу </w:t>
      </w:r>
      <w:r w:rsidRPr="00B02071">
        <w:t xml:space="preserve">није у сагласности са Уставом и законом, јер </w:t>
      </w:r>
      <w:r>
        <w:rPr>
          <w:lang w:val="sr-Cyrl-CS"/>
        </w:rPr>
        <w:t xml:space="preserve">ју </w:t>
      </w:r>
      <w:r w:rsidRPr="00B02071">
        <w:t xml:space="preserve">је донео ненадлежни орган, то није вршена оцена уставности и законитости појединих одредаба Одлуке. </w:t>
      </w:r>
    </w:p>
    <w:p w:rsidR="0059629B" w:rsidRPr="00B02071" w:rsidRDefault="0059629B" w:rsidP="00D46003">
      <w:pPr>
        <w:ind w:firstLine="1440"/>
      </w:pPr>
      <w:r w:rsidRPr="00B02071">
        <w:t xml:space="preserve">Имајући у виду наведено, </w:t>
      </w:r>
      <w:r>
        <w:t>Уставни суд је, сагласно одредб</w:t>
      </w:r>
      <w:r>
        <w:rPr>
          <w:lang w:val="sr-Cyrl-CS"/>
        </w:rPr>
        <w:t>ама</w:t>
      </w:r>
      <w:r w:rsidRPr="00B02071">
        <w:t xml:space="preserve"> члана 45. тач. 1) и 4) Закона о Уставном суду („Службени гласник РС“, бр. 109/07, 99/11 и 18/13-Одлука УС)</w:t>
      </w:r>
      <w:r>
        <w:rPr>
          <w:lang w:val="sr-Cyrl-CS"/>
        </w:rPr>
        <w:t>,</w:t>
      </w:r>
      <w:r w:rsidRPr="00B02071">
        <w:t xml:space="preserve"> одлучио као у тачки 1. изреке.</w:t>
      </w:r>
    </w:p>
    <w:p w:rsidR="0059629B" w:rsidRPr="00B02071" w:rsidRDefault="0059629B" w:rsidP="00D46003">
      <w:pPr>
        <w:ind w:firstLine="1440"/>
      </w:pPr>
      <w:r w:rsidRPr="00B02071">
        <w:t>С обзиром на то да је у току претходног поступка правно стање потпуно утврђено и прикупљени подаци пруж</w:t>
      </w:r>
      <w:r>
        <w:rPr>
          <w:lang w:val="sr-Cyrl-CS"/>
        </w:rPr>
        <w:t xml:space="preserve">или су </w:t>
      </w:r>
      <w:r w:rsidRPr="00B02071">
        <w:t xml:space="preserve">поуздан основ за одлучивање, Уставни суд је одлучио без доношења решења о покретању поступка, сагласно члану 53. став </w:t>
      </w:r>
      <w:r>
        <w:rPr>
          <w:lang w:val="sr-Cyrl-CS"/>
        </w:rPr>
        <w:t>3</w:t>
      </w:r>
      <w:r w:rsidRPr="00B02071">
        <w:t>. Закона о Уставном суду.</w:t>
      </w:r>
    </w:p>
    <w:p w:rsidR="0059629B" w:rsidRPr="00B02071" w:rsidRDefault="0059629B" w:rsidP="00D46003">
      <w:pPr>
        <w:ind w:firstLine="1440"/>
      </w:pPr>
      <w:r w:rsidRPr="00B02071">
        <w:t>Захтев за обуставу извршења појединачног акта, односно радње пре</w:t>
      </w:r>
      <w:r>
        <w:t>дузете на основу оспореног акта</w:t>
      </w:r>
      <w:r w:rsidRPr="00B02071">
        <w:t xml:space="preserve"> Уставни суд је одбацио</w:t>
      </w:r>
      <w:r>
        <w:rPr>
          <w:lang w:val="sr-Cyrl-CS"/>
        </w:rPr>
        <w:t>,</w:t>
      </w:r>
      <w:r w:rsidRPr="00B02071">
        <w:t xml:space="preserve"> сагласно одредби члана 56. став 3. Закона о Уставном суду, с обзиром </w:t>
      </w:r>
      <w:r>
        <w:rPr>
          <w:lang w:val="sr-Cyrl-CS"/>
        </w:rPr>
        <w:t xml:space="preserve">на то </w:t>
      </w:r>
      <w:r w:rsidRPr="00B02071">
        <w:t>да је донео коначну одлуку, одлучујући као у тачки 2. изреке.</w:t>
      </w:r>
    </w:p>
    <w:p w:rsidR="0059629B" w:rsidRPr="000063DF" w:rsidRDefault="0059629B" w:rsidP="009C239E">
      <w:pPr>
        <w:rPr>
          <w:lang w:val="sr-Cyrl-CS"/>
        </w:rPr>
      </w:pPr>
      <w:r w:rsidRPr="00B02071">
        <w:tab/>
        <w:t xml:space="preserve">Полазећи од свега наведеног, Уставни суд је, на основу одредаба члана 42а став 1. тачка 2), члана 45. тач. 1) и 4) </w:t>
      </w:r>
      <w:r>
        <w:rPr>
          <w:lang w:val="sr-Cyrl-CS"/>
        </w:rPr>
        <w:t xml:space="preserve">и члана 46. тачка 3) </w:t>
      </w:r>
      <w:r w:rsidRPr="00B02071">
        <w:t xml:space="preserve">Закона о Уставном суду, </w:t>
      </w:r>
      <w:r>
        <w:rPr>
          <w:lang w:val="sr-Cyrl-CS"/>
        </w:rPr>
        <w:t xml:space="preserve">као и члана 89. Пословника о раду Уставног суда („Службени гласник РС“, број 103/13), </w:t>
      </w:r>
      <w:r w:rsidRPr="000063DF">
        <w:rPr>
          <w:lang w:val="sr-Cyrl-CS"/>
        </w:rPr>
        <w:t>донео Одлуку као у изреци.</w:t>
      </w:r>
    </w:p>
    <w:p w:rsidR="0059629B" w:rsidRPr="00B02071" w:rsidRDefault="0059629B" w:rsidP="00D46003">
      <w:pPr>
        <w:ind w:firstLine="1440"/>
      </w:pPr>
      <w:r w:rsidRPr="00B02071">
        <w:t xml:space="preserve">На основу одредбе члана 168. став 3. Устава, Одлука наведена у </w:t>
      </w:r>
      <w:r>
        <w:rPr>
          <w:lang w:val="sr-Cyrl-CS"/>
        </w:rPr>
        <w:t xml:space="preserve">тачки 1. </w:t>
      </w:r>
      <w:r w:rsidRPr="00B02071">
        <w:t>изре</w:t>
      </w:r>
      <w:r>
        <w:rPr>
          <w:lang w:val="sr-Cyrl-CS"/>
        </w:rPr>
        <w:t>ке</w:t>
      </w:r>
      <w:r w:rsidRPr="00B02071">
        <w:t xml:space="preserve"> престаје да важи даном објављивања </w:t>
      </w:r>
      <w:r>
        <w:rPr>
          <w:lang w:val="sr-Cyrl-CS"/>
        </w:rPr>
        <w:t>О</w:t>
      </w:r>
      <w:r w:rsidRPr="00B02071">
        <w:t>длуке Уставног суда у „Службеном гласнику Републике Србије“.</w:t>
      </w:r>
    </w:p>
    <w:p w:rsidR="0059629B" w:rsidRPr="00B02071" w:rsidRDefault="0059629B" w:rsidP="00AB4FD1"/>
    <w:p w:rsidR="0059629B" w:rsidRPr="00B02071" w:rsidRDefault="0059629B" w:rsidP="00AB4FD1">
      <w:pPr>
        <w:ind w:left="4320"/>
        <w:jc w:val="center"/>
      </w:pPr>
    </w:p>
    <w:p w:rsidR="0059629B" w:rsidRPr="00B02071" w:rsidRDefault="0059629B" w:rsidP="000063DF">
      <w:pPr>
        <w:ind w:left="5760"/>
        <w:jc w:val="center"/>
      </w:pPr>
      <w:r w:rsidRPr="00B02071">
        <w:t xml:space="preserve">ПРЕДСЕДНИК </w:t>
      </w:r>
    </w:p>
    <w:p w:rsidR="0059629B" w:rsidRDefault="0059629B" w:rsidP="000063DF">
      <w:pPr>
        <w:ind w:left="5760"/>
        <w:jc w:val="center"/>
        <w:rPr>
          <w:lang w:val="sr-Cyrl-CS"/>
        </w:rPr>
      </w:pPr>
      <w:r w:rsidRPr="00B02071">
        <w:t>УСТАВНОГ СУДА</w:t>
      </w:r>
    </w:p>
    <w:p w:rsidR="0059629B" w:rsidRDefault="0059629B" w:rsidP="000063DF">
      <w:pPr>
        <w:ind w:left="5760"/>
        <w:jc w:val="center"/>
        <w:rPr>
          <w:lang w:val="sr-Cyrl-CS"/>
        </w:rPr>
      </w:pPr>
    </w:p>
    <w:p w:rsidR="0059629B" w:rsidRDefault="0059629B" w:rsidP="000063DF">
      <w:pPr>
        <w:ind w:left="5760"/>
        <w:jc w:val="center"/>
        <w:rPr>
          <w:lang w:val="sr-Cyrl-CS"/>
        </w:rPr>
      </w:pPr>
    </w:p>
    <w:p w:rsidR="0059629B" w:rsidRDefault="0059629B" w:rsidP="00347C25">
      <w:pPr>
        <w:ind w:left="5760"/>
        <w:jc w:val="center"/>
        <w:rPr>
          <w:lang w:val="sr-Cyrl-CS"/>
        </w:rPr>
      </w:pPr>
      <w:r w:rsidRPr="00B02071">
        <w:t>Весна Илић Прелић</w:t>
      </w:r>
    </w:p>
    <w:p w:rsidR="0059629B" w:rsidRDefault="0059629B" w:rsidP="009325C4">
      <w:pPr>
        <w:pStyle w:val="NormalWeb"/>
        <w:spacing w:before="0" w:beforeAutospacing="0" w:after="0" w:afterAutospacing="0"/>
        <w:ind w:left="5760"/>
        <w:jc w:val="center"/>
        <w:rPr>
          <w:lang w:val="sr-Cyrl-CS"/>
        </w:rPr>
      </w:pPr>
    </w:p>
    <w:p w:rsidR="0059629B" w:rsidRDefault="0059629B" w:rsidP="000063DF">
      <w:pPr>
        <w:ind w:left="5760"/>
        <w:jc w:val="center"/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Default="0059629B" w:rsidP="000063DF">
      <w:pPr>
        <w:rPr>
          <w:lang w:val="sr-Cyrl-CS"/>
        </w:rPr>
      </w:pPr>
    </w:p>
    <w:p w:rsidR="0059629B" w:rsidRPr="00B02071" w:rsidRDefault="0059629B" w:rsidP="009C239E">
      <w:r>
        <w:rPr>
          <w:lang w:val="sr-Cyrl-CS"/>
        </w:rPr>
        <w:t>РК</w:t>
      </w:r>
    </w:p>
    <w:sectPr w:rsidR="0059629B" w:rsidRPr="00B02071" w:rsidSect="00381B35">
      <w:headerReference w:type="even" r:id="rId7"/>
      <w:head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9B" w:rsidRDefault="0059629B" w:rsidP="00AB4FD1">
      <w:r>
        <w:separator/>
      </w:r>
    </w:p>
  </w:endnote>
  <w:endnote w:type="continuationSeparator" w:id="0">
    <w:p w:rsidR="0059629B" w:rsidRDefault="0059629B" w:rsidP="00AB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9B" w:rsidRDefault="0059629B" w:rsidP="00AB4FD1">
      <w:r>
        <w:separator/>
      </w:r>
    </w:p>
  </w:footnote>
  <w:footnote w:type="continuationSeparator" w:id="0">
    <w:p w:rsidR="0059629B" w:rsidRDefault="0059629B" w:rsidP="00AB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B" w:rsidRDefault="0059629B" w:rsidP="008B44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29B" w:rsidRDefault="00596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B" w:rsidRDefault="0059629B" w:rsidP="008B44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9629B" w:rsidRDefault="00596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C1"/>
    <w:rsid w:val="000063DF"/>
    <w:rsid w:val="00067D4A"/>
    <w:rsid w:val="00074E16"/>
    <w:rsid w:val="00094B1E"/>
    <w:rsid w:val="000B33DF"/>
    <w:rsid w:val="00212808"/>
    <w:rsid w:val="0025448E"/>
    <w:rsid w:val="002975DC"/>
    <w:rsid w:val="002B33F6"/>
    <w:rsid w:val="002C176E"/>
    <w:rsid w:val="002D6B58"/>
    <w:rsid w:val="00314816"/>
    <w:rsid w:val="00332425"/>
    <w:rsid w:val="00347C25"/>
    <w:rsid w:val="00357494"/>
    <w:rsid w:val="0036209A"/>
    <w:rsid w:val="00381B35"/>
    <w:rsid w:val="003C4828"/>
    <w:rsid w:val="004654F4"/>
    <w:rsid w:val="004A21C1"/>
    <w:rsid w:val="004A4789"/>
    <w:rsid w:val="005739D9"/>
    <w:rsid w:val="00576A21"/>
    <w:rsid w:val="00586E11"/>
    <w:rsid w:val="0059629B"/>
    <w:rsid w:val="005A7DD7"/>
    <w:rsid w:val="006273DE"/>
    <w:rsid w:val="006358A9"/>
    <w:rsid w:val="00646C35"/>
    <w:rsid w:val="006512DF"/>
    <w:rsid w:val="006552C9"/>
    <w:rsid w:val="00687791"/>
    <w:rsid w:val="0072669D"/>
    <w:rsid w:val="00764F15"/>
    <w:rsid w:val="00803E51"/>
    <w:rsid w:val="008043C9"/>
    <w:rsid w:val="0081653C"/>
    <w:rsid w:val="00886754"/>
    <w:rsid w:val="00892078"/>
    <w:rsid w:val="008B444F"/>
    <w:rsid w:val="00903C4F"/>
    <w:rsid w:val="00911822"/>
    <w:rsid w:val="00913852"/>
    <w:rsid w:val="009325C4"/>
    <w:rsid w:val="009424F3"/>
    <w:rsid w:val="009470E7"/>
    <w:rsid w:val="0096344B"/>
    <w:rsid w:val="0098401D"/>
    <w:rsid w:val="009C239E"/>
    <w:rsid w:val="00A30503"/>
    <w:rsid w:val="00AB13C7"/>
    <w:rsid w:val="00AB4FD1"/>
    <w:rsid w:val="00AD2C0F"/>
    <w:rsid w:val="00B02071"/>
    <w:rsid w:val="00B329C7"/>
    <w:rsid w:val="00BF0DD2"/>
    <w:rsid w:val="00C6020A"/>
    <w:rsid w:val="00CB1691"/>
    <w:rsid w:val="00CC39AC"/>
    <w:rsid w:val="00D32D1F"/>
    <w:rsid w:val="00D46003"/>
    <w:rsid w:val="00D76BA6"/>
    <w:rsid w:val="00DE304B"/>
    <w:rsid w:val="00E61C2E"/>
    <w:rsid w:val="00E86A6D"/>
    <w:rsid w:val="00F6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FD1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FD1"/>
    <w:rPr>
      <w:sz w:val="24"/>
    </w:rPr>
  </w:style>
  <w:style w:type="character" w:styleId="PageNumber">
    <w:name w:val="page number"/>
    <w:basedOn w:val="DefaultParagraphFont"/>
    <w:uiPriority w:val="99"/>
    <w:rsid w:val="00AB4FD1"/>
  </w:style>
  <w:style w:type="paragraph" w:styleId="FootnoteText">
    <w:name w:val="footnote text"/>
    <w:basedOn w:val="Normal"/>
    <w:link w:val="FootnoteTextChar"/>
    <w:uiPriority w:val="99"/>
    <w:rsid w:val="00AB4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4FD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B4FD1"/>
    <w:rPr>
      <w:vertAlign w:val="superscript"/>
    </w:rPr>
  </w:style>
  <w:style w:type="character" w:customStyle="1" w:styleId="NormalWebChar">
    <w:name w:val="Normal (Web) Char"/>
    <w:link w:val="NormalWeb"/>
    <w:locked/>
    <w:rsid w:val="00347C25"/>
    <w:rPr>
      <w:sz w:val="24"/>
    </w:rPr>
  </w:style>
  <w:style w:type="paragraph" w:styleId="NormalWeb">
    <w:name w:val="Normal (Web)"/>
    <w:basedOn w:val="Normal"/>
    <w:link w:val="NormalWebChar"/>
    <w:uiPriority w:val="99"/>
    <w:unhideWhenUsed/>
    <w:rsid w:val="00347C2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1172</Words>
  <Characters>6684</Characters>
  <Application>Microsoft Office Outlook</Application>
  <DocSecurity>0</DocSecurity>
  <Lines>0</Lines>
  <Paragraphs>0</Paragraphs>
  <ScaleCrop>false</ScaleCrop>
  <Company>Exper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KB459</cp:lastModifiedBy>
  <cp:revision>9</cp:revision>
  <cp:lastPrinted>2015-05-27T09:28:00Z</cp:lastPrinted>
  <dcterms:created xsi:type="dcterms:W3CDTF">2015-05-25T12:11:00Z</dcterms:created>
  <dcterms:modified xsi:type="dcterms:W3CDTF">2015-05-27T09:28:00Z</dcterms:modified>
</cp:coreProperties>
</file>